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7" w:rsidRDefault="00AD678C" w:rsidP="00AD678C">
      <w:pPr>
        <w:jc w:val="center"/>
        <w:rPr>
          <w:b/>
        </w:rPr>
      </w:pPr>
      <w:r w:rsidRPr="00AD678C">
        <w:rPr>
          <w:b/>
        </w:rPr>
        <w:t>Hromadná pripomienka</w:t>
      </w:r>
    </w:p>
    <w:p w:rsidR="00AD678C" w:rsidRDefault="00AD678C" w:rsidP="00AD678C">
      <w:pPr>
        <w:jc w:val="center"/>
        <w:rPr>
          <w:b/>
        </w:rPr>
      </w:pPr>
      <w:r w:rsidRPr="00AD678C">
        <w:rPr>
          <w:b/>
        </w:rPr>
        <w:t>k</w:t>
      </w:r>
      <w:r w:rsidR="00EF01D2">
        <w:rPr>
          <w:b/>
        </w:rPr>
        <w:t> </w:t>
      </w:r>
      <w:r w:rsidR="0050531F" w:rsidRPr="00AD678C">
        <w:rPr>
          <w:b/>
        </w:rPr>
        <w:t xml:space="preserve"> </w:t>
      </w:r>
      <w:r w:rsidRPr="00AD678C">
        <w:rPr>
          <w:b/>
        </w:rPr>
        <w:t>„Regionáln</w:t>
      </w:r>
      <w:r w:rsidR="0050531F">
        <w:rPr>
          <w:b/>
        </w:rPr>
        <w:t xml:space="preserve">emu územnému </w:t>
      </w:r>
      <w:r w:rsidRPr="00AD678C">
        <w:rPr>
          <w:b/>
        </w:rPr>
        <w:t>systém</w:t>
      </w:r>
      <w:r w:rsidR="0050531F">
        <w:rPr>
          <w:b/>
        </w:rPr>
        <w:t>u</w:t>
      </w:r>
      <w:r w:rsidRPr="00AD678C">
        <w:rPr>
          <w:b/>
        </w:rPr>
        <w:t xml:space="preserve"> ekologickej stability okresu Rimavská Sobota“</w:t>
      </w:r>
    </w:p>
    <w:p w:rsidR="00AD678C" w:rsidRDefault="00AD678C" w:rsidP="00AD678C">
      <w:pPr>
        <w:jc w:val="center"/>
        <w:rPr>
          <w:b/>
        </w:rPr>
      </w:pPr>
    </w:p>
    <w:p w:rsidR="00AD678C" w:rsidRDefault="00AD678C" w:rsidP="00AD678C">
      <w:pPr>
        <w:jc w:val="both"/>
        <w:rPr>
          <w:b/>
        </w:rPr>
      </w:pPr>
      <w:r>
        <w:rPr>
          <w:b/>
        </w:rPr>
        <w:t>Zdôvodnenie podania:</w:t>
      </w:r>
    </w:p>
    <w:p w:rsidR="00F40CFF" w:rsidRDefault="00C768A2" w:rsidP="00C768A2">
      <w:pPr>
        <w:jc w:val="both"/>
      </w:pPr>
      <w:r w:rsidRPr="00751F83">
        <w:t xml:space="preserve">Okresný úrad Rimavská Sobota, odbor starostlivosti o životné prostredie, ako príslušný orgán štátnej správy podľa § 3 ods. 1 písm. e) a § 4 ods. 1 zákona č. 180/2013 Z.z. o organizácii miestnej štátnej správy a o zmene a doplnení niektorých zákonov v súlade s § 1 ods.1 písm. c) a § 5 ods. 1 zákona č. 525/2003 Z. z. o štátnej správe starostlivosti o životné prostredie a o zmene a doplnení niektorých zákonov v znení neskorších predpisov a ako príslušný orgán štátnej správy ochrany prírody a krajiny podľa § 68 písm. a) zákona č. 543/2002 Z. z. o ochrane prírody a krajiny v znení neskorších predpisov (ďalej len „zákon o ochrane prírody a krajiny“), </w:t>
      </w:r>
    </w:p>
    <w:p w:rsidR="00427D45" w:rsidRDefault="00F40CFF" w:rsidP="00C768A2">
      <w:pPr>
        <w:jc w:val="both"/>
      </w:pPr>
      <w:r>
        <w:t xml:space="preserve">oznámil verejnou vyhláškou </w:t>
      </w:r>
      <w:r w:rsidRPr="00751F83">
        <w:t xml:space="preserve">začatie schvaľovacieho procesu dokumentácie ochrany prírody a krajiny „Regionálneho </w:t>
      </w:r>
      <w:r w:rsidR="0050531F">
        <w:t xml:space="preserve">územného </w:t>
      </w:r>
      <w:r w:rsidRPr="00751F83">
        <w:t xml:space="preserve">systému ekologickej stability okresu Rimavská Sobota“ </w:t>
      </w:r>
      <w:r>
        <w:t>(ďalej len ,,dokument</w:t>
      </w:r>
      <w:r w:rsidR="00EF01D2">
        <w:t>ácia</w:t>
      </w:r>
      <w:r>
        <w:t xml:space="preserve">“) </w:t>
      </w:r>
      <w:r w:rsidR="00C768A2" w:rsidRPr="00751F83">
        <w:t xml:space="preserve">na základe žiadosti Slovenskej agentúry životného prostredia, Tajovského 28, 975 90 Banská Bystrica, </w:t>
      </w:r>
      <w:r w:rsidR="00045C11">
        <w:t xml:space="preserve">ktorá bola doručená </w:t>
      </w:r>
      <w:r w:rsidR="00C768A2" w:rsidRPr="00751F83">
        <w:t>Okresnému úradu Rimavská Sobota dňa 18. 05. 2020</w:t>
      </w:r>
      <w:r>
        <w:t xml:space="preserve">. </w:t>
      </w:r>
    </w:p>
    <w:p w:rsidR="00CD21CF" w:rsidRDefault="00CD21CF" w:rsidP="00E367EB">
      <w:pPr>
        <w:jc w:val="both"/>
        <w:rPr>
          <w:sz w:val="23"/>
          <w:szCs w:val="23"/>
        </w:rPr>
      </w:pPr>
    </w:p>
    <w:p w:rsidR="00E367EB" w:rsidRDefault="00E367EB" w:rsidP="00E367E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 oznámenia Okresného úradu Rimavská Sobota nevyplýva, že </w:t>
      </w:r>
      <w:r w:rsidR="0050531F">
        <w:rPr>
          <w:sz w:val="23"/>
          <w:szCs w:val="23"/>
        </w:rPr>
        <w:t>uvedená dokumentácia ochrany prírody a krajiny je  vo verejnom záujme. T</w:t>
      </w:r>
      <w:r>
        <w:rPr>
          <w:sz w:val="23"/>
          <w:szCs w:val="23"/>
        </w:rPr>
        <w:t>aktiež lehota na vyjadrenie dotk</w:t>
      </w:r>
      <w:r w:rsidR="0050531F">
        <w:rPr>
          <w:sz w:val="23"/>
          <w:szCs w:val="23"/>
        </w:rPr>
        <w:t>nutých osôb je právne neurčitá, čím vzniká pochybnosť</w:t>
      </w:r>
      <w:r w:rsidR="00741087">
        <w:rPr>
          <w:sz w:val="23"/>
          <w:szCs w:val="23"/>
        </w:rPr>
        <w:t>, či právo na dobrú správu vecí verejných bude zachované.</w:t>
      </w:r>
      <w:r w:rsidR="00987D4B">
        <w:rPr>
          <w:sz w:val="23"/>
          <w:szCs w:val="23"/>
        </w:rPr>
        <w:t xml:space="preserve"> Za účelové je možné považovať aj spojenie 107 obcí do jedného konania (účelové navýšenie počtu dotknutých </w:t>
      </w:r>
      <w:r w:rsidR="00F40064">
        <w:rPr>
          <w:sz w:val="23"/>
          <w:szCs w:val="23"/>
        </w:rPr>
        <w:t xml:space="preserve">účastníkov - </w:t>
      </w:r>
      <w:r w:rsidR="00987D4B">
        <w:rPr>
          <w:sz w:val="23"/>
          <w:szCs w:val="23"/>
        </w:rPr>
        <w:t>vlastníkov)</w:t>
      </w:r>
      <w:r w:rsidR="00D97052">
        <w:rPr>
          <w:sz w:val="23"/>
          <w:szCs w:val="23"/>
        </w:rPr>
        <w:t>.</w:t>
      </w:r>
      <w:r w:rsidR="00041425">
        <w:rPr>
          <w:sz w:val="23"/>
          <w:szCs w:val="23"/>
        </w:rPr>
        <w:t xml:space="preserve"> </w:t>
      </w:r>
    </w:p>
    <w:p w:rsidR="0050531F" w:rsidRDefault="0050531F" w:rsidP="00E367EB">
      <w:pPr>
        <w:jc w:val="both"/>
        <w:rPr>
          <w:sz w:val="23"/>
          <w:szCs w:val="23"/>
        </w:rPr>
      </w:pPr>
    </w:p>
    <w:p w:rsidR="00E367EB" w:rsidRPr="00041425" w:rsidRDefault="0050531F" w:rsidP="00C768A2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Uvedená dokume</w:t>
      </w:r>
      <w:r w:rsidR="00F40064">
        <w:rPr>
          <w:sz w:val="23"/>
          <w:szCs w:val="23"/>
        </w:rPr>
        <w:t>ntácia neobsahuje kalkuláciu finančných dopadov</w:t>
      </w:r>
      <w:r>
        <w:rPr>
          <w:sz w:val="23"/>
          <w:szCs w:val="23"/>
        </w:rPr>
        <w:t xml:space="preserve"> za obmedzenie vlastníckych práv vlastníkov pozemkov a dotknutých osôb ak dôjde k obmedzeni</w:t>
      </w:r>
      <w:r w:rsidR="00F40064">
        <w:rPr>
          <w:sz w:val="23"/>
          <w:szCs w:val="23"/>
        </w:rPr>
        <w:t>u hospodárenia na ich pozemkoch a a</w:t>
      </w:r>
      <w:r w:rsidR="00987D4B">
        <w:rPr>
          <w:sz w:val="23"/>
          <w:szCs w:val="23"/>
        </w:rPr>
        <w:t>ni spôsob vysporiadania</w:t>
      </w:r>
      <w:r w:rsidR="00041425">
        <w:rPr>
          <w:sz w:val="23"/>
          <w:szCs w:val="23"/>
        </w:rPr>
        <w:t xml:space="preserve"> </w:t>
      </w:r>
      <w:r w:rsidR="00F40064">
        <w:rPr>
          <w:sz w:val="23"/>
          <w:szCs w:val="23"/>
        </w:rPr>
        <w:t xml:space="preserve">prípadnej </w:t>
      </w:r>
      <w:r w:rsidR="00041425">
        <w:rPr>
          <w:sz w:val="23"/>
          <w:szCs w:val="23"/>
        </w:rPr>
        <w:t>majetkovej ujmy.</w:t>
      </w:r>
      <w:r>
        <w:rPr>
          <w:sz w:val="23"/>
          <w:szCs w:val="23"/>
        </w:rPr>
        <w:t xml:space="preserve"> </w:t>
      </w:r>
      <w:r w:rsidR="00F40064">
        <w:t>Máme zato</w:t>
      </w:r>
      <w:r w:rsidR="00045C11">
        <w:t xml:space="preserve">, že </w:t>
      </w:r>
      <w:r w:rsidR="00EF01D2">
        <w:t>uvedená dokumentácia je v rozpore s čl. 20 Ústavy Slovenskej</w:t>
      </w:r>
      <w:r w:rsidR="00F40064">
        <w:t xml:space="preserve"> republiky</w:t>
      </w:r>
      <w:r w:rsidR="00EF01D2">
        <w:t xml:space="preserve">, pretože </w:t>
      </w:r>
      <w:r w:rsidR="00045C11">
        <w:t>za</w:t>
      </w:r>
      <w:r w:rsidR="00EF01D2">
        <w:t>sahuje do vlastníckych práv</w:t>
      </w:r>
      <w:r w:rsidR="00045C11">
        <w:t xml:space="preserve"> </w:t>
      </w:r>
      <w:r w:rsidR="00EF01D2">
        <w:t>nad rámec predpokladaný ú</w:t>
      </w:r>
      <w:r w:rsidR="00E367EB">
        <w:t xml:space="preserve">stavou, nakoľko </w:t>
      </w:r>
      <w:r w:rsidR="00045C11">
        <w:t xml:space="preserve"> v</w:t>
      </w:r>
      <w:r w:rsidR="00045C11">
        <w:rPr>
          <w:sz w:val="23"/>
          <w:szCs w:val="23"/>
        </w:rPr>
        <w:t xml:space="preserve">yvlastnenie alebo nútené obmedzenie vlastníckeho práva možné iba v nevyhnutnej miere a vo verejnom záujme, a to na </w:t>
      </w:r>
      <w:r w:rsidR="00045C11" w:rsidRPr="00041425">
        <w:rPr>
          <w:b/>
          <w:bCs/>
          <w:sz w:val="23"/>
          <w:szCs w:val="23"/>
        </w:rPr>
        <w:t>základe zákona a za primeranú náhradu.</w:t>
      </w:r>
      <w:r w:rsidR="00041425">
        <w:rPr>
          <w:b/>
          <w:bCs/>
          <w:sz w:val="23"/>
          <w:szCs w:val="23"/>
        </w:rPr>
        <w:t xml:space="preserve"> </w:t>
      </w:r>
    </w:p>
    <w:p w:rsidR="00E367EB" w:rsidRDefault="00E367EB" w:rsidP="00C768A2">
      <w:pPr>
        <w:jc w:val="both"/>
        <w:rPr>
          <w:sz w:val="23"/>
          <w:szCs w:val="23"/>
        </w:rPr>
      </w:pPr>
    </w:p>
    <w:p w:rsidR="00910F67" w:rsidRPr="00CD21CF" w:rsidRDefault="00E367EB" w:rsidP="00CD21CF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EF01D2">
        <w:rPr>
          <w:b/>
          <w:bCs/>
          <w:sz w:val="23"/>
          <w:szCs w:val="23"/>
        </w:rPr>
        <w:t>V hromadnej pripomienke preto navrhujeme</w:t>
      </w:r>
      <w:r w:rsidR="00AD678C">
        <w:rPr>
          <w:b/>
          <w:bCs/>
          <w:sz w:val="23"/>
          <w:szCs w:val="23"/>
        </w:rPr>
        <w:t>, aby:</w:t>
      </w:r>
    </w:p>
    <w:p w:rsidR="00B568F1" w:rsidRPr="00CB253A" w:rsidRDefault="00910F67" w:rsidP="00D97052">
      <w:pPr>
        <w:pStyle w:val="Default"/>
        <w:numPr>
          <w:ilvl w:val="0"/>
          <w:numId w:val="4"/>
        </w:numPr>
        <w:spacing w:line="276" w:lineRule="auto"/>
        <w:jc w:val="both"/>
        <w:rPr>
          <w:b/>
          <w:sz w:val="23"/>
          <w:szCs w:val="23"/>
        </w:rPr>
      </w:pPr>
      <w:r w:rsidRPr="00CB253A">
        <w:rPr>
          <w:b/>
          <w:sz w:val="23"/>
          <w:szCs w:val="23"/>
        </w:rPr>
        <w:t xml:space="preserve">bol </w:t>
      </w:r>
      <w:r w:rsidR="00CB253A" w:rsidRPr="00CB253A">
        <w:rPr>
          <w:b/>
          <w:sz w:val="23"/>
          <w:szCs w:val="23"/>
        </w:rPr>
        <w:t xml:space="preserve">uvedený </w:t>
      </w:r>
      <w:r w:rsidR="00B568F1" w:rsidRPr="00CB253A">
        <w:rPr>
          <w:b/>
          <w:sz w:val="23"/>
          <w:szCs w:val="23"/>
        </w:rPr>
        <w:t xml:space="preserve">dokument prerokovaný </w:t>
      </w:r>
      <w:r w:rsidR="00CB253A" w:rsidRPr="00CB253A">
        <w:rPr>
          <w:b/>
          <w:sz w:val="23"/>
          <w:szCs w:val="23"/>
        </w:rPr>
        <w:t xml:space="preserve">v každej obci </w:t>
      </w:r>
      <w:r w:rsidR="00427D45">
        <w:rPr>
          <w:b/>
          <w:sz w:val="23"/>
          <w:szCs w:val="23"/>
        </w:rPr>
        <w:t xml:space="preserve">osobitne </w:t>
      </w:r>
      <w:r w:rsidR="00CB253A" w:rsidRPr="00CB253A">
        <w:rPr>
          <w:b/>
          <w:sz w:val="23"/>
          <w:szCs w:val="23"/>
        </w:rPr>
        <w:t>s</w:t>
      </w:r>
      <w:r w:rsidR="00F40064">
        <w:rPr>
          <w:b/>
          <w:sz w:val="23"/>
          <w:szCs w:val="23"/>
        </w:rPr>
        <w:t>o všetkými</w:t>
      </w:r>
      <w:r w:rsidR="00CB253A" w:rsidRPr="00CB253A">
        <w:rPr>
          <w:b/>
          <w:sz w:val="23"/>
          <w:szCs w:val="23"/>
        </w:rPr>
        <w:t xml:space="preserve"> dotknutými </w:t>
      </w:r>
      <w:r w:rsidR="00F40064">
        <w:rPr>
          <w:b/>
          <w:sz w:val="23"/>
          <w:szCs w:val="23"/>
        </w:rPr>
        <w:t>vlastníkmi</w:t>
      </w:r>
      <w:r w:rsidR="00B568F1" w:rsidRPr="00CB253A">
        <w:rPr>
          <w:b/>
          <w:sz w:val="23"/>
          <w:szCs w:val="23"/>
        </w:rPr>
        <w:t xml:space="preserve">, </w:t>
      </w:r>
    </w:p>
    <w:p w:rsidR="00AD678C" w:rsidRDefault="00B568F1" w:rsidP="00D97052">
      <w:pPr>
        <w:pStyle w:val="Default"/>
        <w:numPr>
          <w:ilvl w:val="0"/>
          <w:numId w:val="4"/>
        </w:numPr>
        <w:spacing w:line="276" w:lineRule="auto"/>
        <w:jc w:val="both"/>
        <w:rPr>
          <w:b/>
          <w:sz w:val="23"/>
          <w:szCs w:val="23"/>
        </w:rPr>
      </w:pPr>
      <w:r w:rsidRPr="00CB253A">
        <w:rPr>
          <w:b/>
          <w:sz w:val="23"/>
          <w:szCs w:val="23"/>
        </w:rPr>
        <w:t>boli vyčíslené dopady a</w:t>
      </w:r>
      <w:r w:rsidR="00910F67" w:rsidRPr="00CB253A">
        <w:rPr>
          <w:b/>
          <w:sz w:val="23"/>
          <w:szCs w:val="23"/>
        </w:rPr>
        <w:t> </w:t>
      </w:r>
      <w:r w:rsidRPr="00CB253A">
        <w:rPr>
          <w:b/>
          <w:sz w:val="23"/>
          <w:szCs w:val="23"/>
        </w:rPr>
        <w:t>kompenzáci</w:t>
      </w:r>
      <w:r w:rsidR="00987D4B">
        <w:rPr>
          <w:b/>
          <w:sz w:val="23"/>
          <w:szCs w:val="23"/>
        </w:rPr>
        <w:t>a</w:t>
      </w:r>
      <w:r w:rsidR="00910F67" w:rsidRPr="00CB253A">
        <w:rPr>
          <w:b/>
          <w:sz w:val="23"/>
          <w:szCs w:val="23"/>
        </w:rPr>
        <w:t xml:space="preserve"> za obmedzenie vlastnícke</w:t>
      </w:r>
      <w:r w:rsidR="00987D4B">
        <w:rPr>
          <w:b/>
          <w:sz w:val="23"/>
          <w:szCs w:val="23"/>
        </w:rPr>
        <w:t>ho</w:t>
      </w:r>
      <w:r w:rsidR="00F40064">
        <w:rPr>
          <w:b/>
          <w:sz w:val="23"/>
          <w:szCs w:val="23"/>
        </w:rPr>
        <w:t xml:space="preserve"> práva v zmysle</w:t>
      </w:r>
      <w:r w:rsidR="00910F67" w:rsidRPr="00CB253A">
        <w:rPr>
          <w:b/>
          <w:sz w:val="23"/>
          <w:szCs w:val="23"/>
        </w:rPr>
        <w:t xml:space="preserve"> </w:t>
      </w:r>
      <w:bookmarkStart w:id="0" w:name="_GoBack"/>
      <w:bookmarkEnd w:id="0"/>
      <w:r w:rsidR="00910F67" w:rsidRPr="00CB253A">
        <w:rPr>
          <w:b/>
          <w:sz w:val="23"/>
          <w:szCs w:val="23"/>
        </w:rPr>
        <w:t>Ústavy Slovenskej republiky</w:t>
      </w:r>
      <w:r w:rsidR="00987D4B">
        <w:rPr>
          <w:b/>
          <w:sz w:val="23"/>
          <w:szCs w:val="23"/>
        </w:rPr>
        <w:t xml:space="preserve"> </w:t>
      </w:r>
      <w:r w:rsidR="00F40064">
        <w:rPr>
          <w:b/>
          <w:sz w:val="23"/>
          <w:szCs w:val="23"/>
        </w:rPr>
        <w:t xml:space="preserve">tak,  </w:t>
      </w:r>
      <w:r w:rsidR="00987D4B">
        <w:rPr>
          <w:b/>
          <w:sz w:val="23"/>
          <w:szCs w:val="23"/>
        </w:rPr>
        <w:t>ako</w:t>
      </w:r>
      <w:r w:rsidR="00F40064">
        <w:rPr>
          <w:b/>
          <w:sz w:val="23"/>
          <w:szCs w:val="23"/>
        </w:rPr>
        <w:t xml:space="preserve"> ani spôsob jeho vysporiadania</w:t>
      </w:r>
      <w:r w:rsidR="00D97052">
        <w:rPr>
          <w:b/>
          <w:sz w:val="23"/>
          <w:szCs w:val="23"/>
        </w:rPr>
        <w:t>,</w:t>
      </w:r>
    </w:p>
    <w:p w:rsidR="00987D4B" w:rsidRDefault="00F40064" w:rsidP="00D97052">
      <w:pPr>
        <w:pStyle w:val="Default"/>
        <w:numPr>
          <w:ilvl w:val="0"/>
          <w:numId w:val="4"/>
        </w:num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boli </w:t>
      </w:r>
      <w:r w:rsidR="00987D4B">
        <w:rPr>
          <w:b/>
          <w:sz w:val="23"/>
          <w:szCs w:val="23"/>
        </w:rPr>
        <w:t>do projektu začlenené len pozemky s písomným súhlasom vlastníkov</w:t>
      </w:r>
      <w:r w:rsidR="00D97052">
        <w:rPr>
          <w:b/>
          <w:sz w:val="23"/>
          <w:szCs w:val="23"/>
        </w:rPr>
        <w:t>,</w:t>
      </w:r>
    </w:p>
    <w:p w:rsidR="00041425" w:rsidRPr="00CB253A" w:rsidRDefault="00F40064" w:rsidP="00D97052">
      <w:pPr>
        <w:pStyle w:val="Default"/>
        <w:numPr>
          <w:ilvl w:val="0"/>
          <w:numId w:val="4"/>
        </w:num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sa </w:t>
      </w:r>
      <w:r w:rsidR="0086780B">
        <w:rPr>
          <w:b/>
          <w:sz w:val="23"/>
          <w:szCs w:val="23"/>
        </w:rPr>
        <w:t>pre každú obec (katastrálne územie)</w:t>
      </w:r>
      <w:r w:rsidR="00D97052">
        <w:rPr>
          <w:b/>
          <w:sz w:val="23"/>
          <w:szCs w:val="23"/>
        </w:rPr>
        <w:t xml:space="preserve"> konalo </w:t>
      </w:r>
      <w:r>
        <w:rPr>
          <w:b/>
          <w:sz w:val="23"/>
          <w:szCs w:val="23"/>
        </w:rPr>
        <w:t>v samostatnom konaní</w:t>
      </w:r>
      <w:r w:rsidR="00D97052">
        <w:rPr>
          <w:b/>
          <w:sz w:val="23"/>
          <w:szCs w:val="23"/>
        </w:rPr>
        <w:t>.</w:t>
      </w:r>
    </w:p>
    <w:p w:rsidR="00AD678C" w:rsidRDefault="00AD678C" w:rsidP="00AD678C">
      <w:pPr>
        <w:pStyle w:val="Default"/>
      </w:pPr>
    </w:p>
    <w:p w:rsidR="00AD678C" w:rsidRPr="00EF01D2" w:rsidRDefault="00AD678C" w:rsidP="00AD678C">
      <w:pPr>
        <w:pStyle w:val="Default"/>
        <w:jc w:val="both"/>
        <w:rPr>
          <w:sz w:val="23"/>
          <w:szCs w:val="23"/>
        </w:rPr>
      </w:pPr>
      <w:r w:rsidRPr="00EF01D2">
        <w:t xml:space="preserve"> </w:t>
      </w:r>
      <w:r w:rsidRPr="00EF01D2">
        <w:rPr>
          <w:b/>
          <w:sz w:val="23"/>
          <w:szCs w:val="23"/>
        </w:rPr>
        <w:t>VŠETKY pripomienky ktoré týmto predkladáme, majú charakter zásadnej pripomienky</w:t>
      </w:r>
      <w:r w:rsidRPr="00EF01D2">
        <w:rPr>
          <w:sz w:val="23"/>
          <w:szCs w:val="23"/>
        </w:rPr>
        <w:t xml:space="preserve">. V prípade, ak </w:t>
      </w:r>
      <w:r w:rsidR="00CB253A" w:rsidRPr="00EF01D2">
        <w:rPr>
          <w:sz w:val="23"/>
          <w:szCs w:val="23"/>
        </w:rPr>
        <w:t>okresný úrad R</w:t>
      </w:r>
      <w:r w:rsidR="00427D45" w:rsidRPr="00EF01D2">
        <w:rPr>
          <w:sz w:val="23"/>
          <w:szCs w:val="23"/>
        </w:rPr>
        <w:t xml:space="preserve">imavská Sobota </w:t>
      </w:r>
      <w:r w:rsidRPr="00EF01D2">
        <w:rPr>
          <w:sz w:val="23"/>
          <w:szCs w:val="23"/>
        </w:rPr>
        <w:t>hromadnej pripomienke nevyhovie, žiadame uskutočnenie rozporovéh</w:t>
      </w:r>
      <w:r w:rsidR="00F40064">
        <w:rPr>
          <w:sz w:val="23"/>
          <w:szCs w:val="23"/>
        </w:rPr>
        <w:t>o konania, na ktoré budú písomne</w:t>
      </w:r>
      <w:r w:rsidRPr="00EF01D2">
        <w:rPr>
          <w:sz w:val="23"/>
          <w:szCs w:val="23"/>
        </w:rPr>
        <w:t xml:space="preserve"> pozvaní </w:t>
      </w:r>
      <w:r w:rsidR="00512262" w:rsidRPr="00EF01D2">
        <w:rPr>
          <w:sz w:val="23"/>
          <w:szCs w:val="23"/>
        </w:rPr>
        <w:t>nižšie uvedení</w:t>
      </w:r>
      <w:r w:rsidR="00F40064">
        <w:rPr>
          <w:sz w:val="23"/>
          <w:szCs w:val="23"/>
        </w:rPr>
        <w:t xml:space="preserve"> zástupcovia vlastníkov</w:t>
      </w:r>
      <w:r w:rsidRPr="00EF01D2">
        <w:rPr>
          <w:sz w:val="23"/>
          <w:szCs w:val="23"/>
        </w:rPr>
        <w:t>, ktorí sú na zastupovanie na rozporovom konaní splnomocnení fyzickými a právnickými osobami, na základe tejto hromadnej pripomienky.</w:t>
      </w:r>
    </w:p>
    <w:p w:rsidR="00AD678C" w:rsidRDefault="00AD678C" w:rsidP="00AD678C">
      <w:pPr>
        <w:pStyle w:val="Default"/>
        <w:jc w:val="both"/>
        <w:rPr>
          <w:sz w:val="23"/>
          <w:szCs w:val="23"/>
          <w:u w:val="single"/>
        </w:rPr>
      </w:pPr>
    </w:p>
    <w:p w:rsidR="00AD678C" w:rsidRPr="00427D45" w:rsidRDefault="00427D45" w:rsidP="00AD678C">
      <w:pPr>
        <w:pStyle w:val="Default"/>
        <w:jc w:val="both"/>
      </w:pPr>
      <w:r w:rsidRPr="00427D45">
        <w:rPr>
          <w:b/>
          <w:bCs/>
          <w:sz w:val="23"/>
          <w:szCs w:val="23"/>
        </w:rPr>
        <w:t xml:space="preserve">Za splnomocnenca pre zastupovanie pri rokovaniach o hromadnej pripomienke </w:t>
      </w:r>
      <w:r>
        <w:rPr>
          <w:b/>
          <w:bCs/>
          <w:sz w:val="23"/>
          <w:szCs w:val="23"/>
        </w:rPr>
        <w:t>určujeme</w:t>
      </w:r>
      <w:r w:rsidR="00AD678C" w:rsidRPr="00427D45">
        <w:rPr>
          <w:b/>
          <w:bCs/>
          <w:sz w:val="23"/>
          <w:szCs w:val="23"/>
        </w:rPr>
        <w:t xml:space="preserve">: </w:t>
      </w:r>
    </w:p>
    <w:p w:rsidR="00AD678C" w:rsidRPr="00427D45" w:rsidRDefault="00512262" w:rsidP="00CB253A">
      <w:pPr>
        <w:pStyle w:val="Default"/>
        <w:numPr>
          <w:ilvl w:val="0"/>
          <w:numId w:val="6"/>
        </w:numPr>
        <w:jc w:val="both"/>
        <w:rPr>
          <w:b/>
        </w:rPr>
      </w:pPr>
      <w:r>
        <w:rPr>
          <w:b/>
          <w:i/>
        </w:rPr>
        <w:t>Zsolt Simon , Padarovce č.d.81, 98023 pošta Teplý Vrch, email: zsolt.simi@gmail.com</w:t>
      </w:r>
    </w:p>
    <w:p w:rsidR="000E0D1B" w:rsidRPr="008F29BD" w:rsidRDefault="0022769B" w:rsidP="00CB253A">
      <w:pPr>
        <w:pStyle w:val="Default"/>
        <w:numPr>
          <w:ilvl w:val="0"/>
          <w:numId w:val="6"/>
        </w:numPr>
        <w:jc w:val="both"/>
        <w:rPr>
          <w:b/>
          <w:i/>
        </w:rPr>
      </w:pPr>
      <w:r w:rsidRPr="008F29BD">
        <w:rPr>
          <w:b/>
          <w:i/>
        </w:rPr>
        <w:t>Janka Janšová, Mikroregión Teplý Vrch 80, 980 23 Teplý Vrch, predseda</w:t>
      </w:r>
      <w:r w:rsidR="00CD21CF" w:rsidRPr="008F29BD">
        <w:rPr>
          <w:b/>
          <w:i/>
        </w:rPr>
        <w:t>@mrteplyvrch.sk</w:t>
      </w:r>
      <w:r w:rsidR="000E0D1B" w:rsidRPr="008F29BD">
        <w:rPr>
          <w:b/>
          <w:i/>
        </w:rPr>
        <w:br w:type="page"/>
      </w:r>
    </w:p>
    <w:p w:rsidR="000E0D1B" w:rsidRDefault="000E0D1B" w:rsidP="000E0D1B">
      <w:pPr>
        <w:jc w:val="both"/>
        <w:rPr>
          <w:b/>
        </w:rPr>
        <w:sectPr w:rsidR="000E0D1B" w:rsidSect="000E0D1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D678C" w:rsidRDefault="00B9444D" w:rsidP="000E0D1B">
      <w:pPr>
        <w:jc w:val="both"/>
      </w:pPr>
      <w:r>
        <w:rPr>
          <w:b/>
        </w:rPr>
        <w:lastRenderedPageBreak/>
        <w:t xml:space="preserve">Ja, dolu podpísaný </w:t>
      </w:r>
      <w:r w:rsidR="0050531F">
        <w:rPr>
          <w:b/>
        </w:rPr>
        <w:t>vyjadrujem s</w:t>
      </w:r>
      <w:r w:rsidR="00CB253A" w:rsidRPr="00751F83">
        <w:rPr>
          <w:b/>
        </w:rPr>
        <w:t>úhlasím s</w:t>
      </w:r>
      <w:r w:rsidR="00EF01D2">
        <w:rPr>
          <w:b/>
        </w:rPr>
        <w:t> hromadnou pripomienkou k</w:t>
      </w:r>
      <w:r w:rsidR="0050531F">
        <w:rPr>
          <w:b/>
        </w:rPr>
        <w:t> </w:t>
      </w:r>
      <w:r w:rsidR="00EF01D2">
        <w:rPr>
          <w:b/>
        </w:rPr>
        <w:t>,,</w:t>
      </w:r>
      <w:r w:rsidR="00EF01D2" w:rsidRPr="00AD678C">
        <w:rPr>
          <w:b/>
        </w:rPr>
        <w:t>Regionáln</w:t>
      </w:r>
      <w:r w:rsidR="0050531F">
        <w:rPr>
          <w:b/>
        </w:rPr>
        <w:t xml:space="preserve">emu územnému </w:t>
      </w:r>
      <w:r w:rsidR="00EF01D2" w:rsidRPr="00AD678C">
        <w:rPr>
          <w:b/>
        </w:rPr>
        <w:t>systém</w:t>
      </w:r>
      <w:r w:rsidR="0050531F">
        <w:rPr>
          <w:b/>
        </w:rPr>
        <w:t>u</w:t>
      </w:r>
      <w:r w:rsidR="00EF01D2" w:rsidRPr="00AD678C">
        <w:rPr>
          <w:b/>
        </w:rPr>
        <w:t xml:space="preserve"> ekologickej stability okresu Rimavská Sobota</w:t>
      </w:r>
      <w:r w:rsidR="00EF01D2">
        <w:rPr>
          <w:b/>
        </w:rPr>
        <w:t>“</w:t>
      </w:r>
    </w:p>
    <w:p w:rsidR="00CB253A" w:rsidRDefault="00CB253A" w:rsidP="00AD678C">
      <w:pPr>
        <w:jc w:val="both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7"/>
        <w:gridCol w:w="3549"/>
        <w:gridCol w:w="5054"/>
        <w:gridCol w:w="2995"/>
        <w:gridCol w:w="1682"/>
      </w:tblGrid>
      <w:tr w:rsidR="000E0D1B" w:rsidTr="000E0D1B">
        <w:tc>
          <w:tcPr>
            <w:tcW w:w="349" w:type="pct"/>
          </w:tcPr>
          <w:p w:rsidR="000E0D1B" w:rsidRDefault="000E0D1B" w:rsidP="00427D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P.č</w:t>
            </w:r>
          </w:p>
        </w:tc>
        <w:tc>
          <w:tcPr>
            <w:tcW w:w="1243" w:type="pct"/>
          </w:tcPr>
          <w:p w:rsidR="000E0D1B" w:rsidRDefault="000E0D1B" w:rsidP="00427D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Meno a priezvisko /</w:t>
            </w:r>
          </w:p>
          <w:p w:rsidR="000E0D1B" w:rsidRDefault="000E0D1B" w:rsidP="00427D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Názov právnickej osoby, IČO</w:t>
            </w:r>
          </w:p>
        </w:tc>
        <w:tc>
          <w:tcPr>
            <w:tcW w:w="1770" w:type="pct"/>
          </w:tcPr>
          <w:p w:rsidR="000E0D1B" w:rsidRDefault="000E0D1B" w:rsidP="00427D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Adresa trvalého pobytu (ul., č. obec, PSČ)</w:t>
            </w:r>
          </w:p>
        </w:tc>
        <w:tc>
          <w:tcPr>
            <w:tcW w:w="1049" w:type="pct"/>
          </w:tcPr>
          <w:p w:rsidR="000E0D1B" w:rsidRDefault="000E0D1B" w:rsidP="00427D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Katastrálne územie</w:t>
            </w:r>
          </w:p>
        </w:tc>
        <w:tc>
          <w:tcPr>
            <w:tcW w:w="589" w:type="pct"/>
          </w:tcPr>
          <w:p w:rsidR="000E0D1B" w:rsidRDefault="000E0D1B" w:rsidP="00427D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E0D1B" w:rsidTr="000E0D1B">
        <w:tc>
          <w:tcPr>
            <w:tcW w:w="349" w:type="pct"/>
          </w:tcPr>
          <w:p w:rsidR="000E0D1B" w:rsidRPr="000E0D1B" w:rsidRDefault="000E0D1B" w:rsidP="000E0D1B">
            <w:pPr>
              <w:pStyle w:val="Odsekzoznamu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12262" w:rsidRDefault="00512262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70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pct"/>
          </w:tcPr>
          <w:p w:rsidR="000E0D1B" w:rsidRDefault="000E0D1B" w:rsidP="0071489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p w:rsidR="000E0D1B" w:rsidRDefault="000E0D1B" w:rsidP="00AD678C">
      <w:pPr>
        <w:jc w:val="both"/>
        <w:rPr>
          <w:rFonts w:ascii="Arial" w:hAnsi="Arial" w:cs="Arial"/>
          <w:color w:val="000000"/>
        </w:rPr>
      </w:pPr>
    </w:p>
    <w:sectPr w:rsidR="000E0D1B" w:rsidSect="0071489C">
      <w:pgSz w:w="16838" w:h="11906" w:orient="landscape"/>
      <w:pgMar w:top="1417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B8" w:rsidRDefault="00235AB8" w:rsidP="000E0D1B">
      <w:pPr>
        <w:spacing w:line="240" w:lineRule="auto"/>
      </w:pPr>
      <w:r>
        <w:separator/>
      </w:r>
    </w:p>
  </w:endnote>
  <w:endnote w:type="continuationSeparator" w:id="0">
    <w:p w:rsidR="00235AB8" w:rsidRDefault="00235AB8" w:rsidP="000E0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B8" w:rsidRDefault="00235AB8" w:rsidP="000E0D1B">
      <w:pPr>
        <w:spacing w:line="240" w:lineRule="auto"/>
      </w:pPr>
      <w:r>
        <w:separator/>
      </w:r>
    </w:p>
  </w:footnote>
  <w:footnote w:type="continuationSeparator" w:id="0">
    <w:p w:rsidR="00235AB8" w:rsidRDefault="00235AB8" w:rsidP="000E0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389"/>
    <w:multiLevelType w:val="hybridMultilevel"/>
    <w:tmpl w:val="B52AB6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227D"/>
    <w:multiLevelType w:val="hybridMultilevel"/>
    <w:tmpl w:val="AC6E9F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56C"/>
    <w:multiLevelType w:val="hybridMultilevel"/>
    <w:tmpl w:val="0E1E0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812"/>
    <w:multiLevelType w:val="hybridMultilevel"/>
    <w:tmpl w:val="7A0A3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4BF7"/>
    <w:multiLevelType w:val="hybridMultilevel"/>
    <w:tmpl w:val="97B47D60"/>
    <w:lvl w:ilvl="0" w:tplc="A030E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4724"/>
    <w:multiLevelType w:val="hybridMultilevel"/>
    <w:tmpl w:val="05527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F6B1A"/>
    <w:multiLevelType w:val="hybridMultilevel"/>
    <w:tmpl w:val="37D6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8C"/>
    <w:rsid w:val="00041425"/>
    <w:rsid w:val="00045C11"/>
    <w:rsid w:val="000E0D1B"/>
    <w:rsid w:val="0022769B"/>
    <w:rsid w:val="00235AB8"/>
    <w:rsid w:val="003002FC"/>
    <w:rsid w:val="0034431A"/>
    <w:rsid w:val="00427D45"/>
    <w:rsid w:val="004F14ED"/>
    <w:rsid w:val="0050531F"/>
    <w:rsid w:val="00512262"/>
    <w:rsid w:val="00643414"/>
    <w:rsid w:val="006C1549"/>
    <w:rsid w:val="0071489C"/>
    <w:rsid w:val="00740713"/>
    <w:rsid w:val="00741087"/>
    <w:rsid w:val="00785439"/>
    <w:rsid w:val="0086780B"/>
    <w:rsid w:val="008C09E5"/>
    <w:rsid w:val="008F29BD"/>
    <w:rsid w:val="00910F67"/>
    <w:rsid w:val="00987D4B"/>
    <w:rsid w:val="00A01113"/>
    <w:rsid w:val="00A647F5"/>
    <w:rsid w:val="00AD678C"/>
    <w:rsid w:val="00B340D1"/>
    <w:rsid w:val="00B568F1"/>
    <w:rsid w:val="00B9444D"/>
    <w:rsid w:val="00C768A2"/>
    <w:rsid w:val="00C91A3C"/>
    <w:rsid w:val="00CB253A"/>
    <w:rsid w:val="00CD21CF"/>
    <w:rsid w:val="00D97052"/>
    <w:rsid w:val="00E367EB"/>
    <w:rsid w:val="00EB021A"/>
    <w:rsid w:val="00EF01D2"/>
    <w:rsid w:val="00F038EE"/>
    <w:rsid w:val="00F40064"/>
    <w:rsid w:val="00F40CFF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4B8EE-E759-4100-BA54-C693815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D678C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Odsekzoznamu">
    <w:name w:val="List Paragraph"/>
    <w:basedOn w:val="Normlny"/>
    <w:uiPriority w:val="34"/>
    <w:qFormat/>
    <w:rsid w:val="00B568F1"/>
    <w:pPr>
      <w:ind w:left="720"/>
      <w:contextualSpacing/>
    </w:pPr>
  </w:style>
  <w:style w:type="table" w:styleId="Mriekatabuky">
    <w:name w:val="Table Grid"/>
    <w:basedOn w:val="Normlnatabuka"/>
    <w:uiPriority w:val="39"/>
    <w:rsid w:val="00CB2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94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444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E0D1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D1B"/>
  </w:style>
  <w:style w:type="paragraph" w:styleId="Pta">
    <w:name w:val="footer"/>
    <w:basedOn w:val="Normlny"/>
    <w:link w:val="PtaChar"/>
    <w:uiPriority w:val="99"/>
    <w:unhideWhenUsed/>
    <w:rsid w:val="000E0D1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JANŠOVÁ Janka</cp:lastModifiedBy>
  <cp:revision>3</cp:revision>
  <cp:lastPrinted>2020-06-12T05:00:00Z</cp:lastPrinted>
  <dcterms:created xsi:type="dcterms:W3CDTF">2020-06-20T21:38:00Z</dcterms:created>
  <dcterms:modified xsi:type="dcterms:W3CDTF">2020-06-20T21:38:00Z</dcterms:modified>
</cp:coreProperties>
</file>